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0"/>
          <w:szCs w:val="30"/>
        </w:rPr>
      </w:pPr>
      <w:r>
        <w:rPr>
          <w:rFonts w:hint="eastAsia" w:asciiTheme="minorEastAsia" w:hAnsiTheme="minorEastAsia"/>
          <w:b/>
          <w:sz w:val="30"/>
          <w:szCs w:val="30"/>
        </w:rPr>
        <w:t>上海市高原学科—上海电机学院机械工程学科</w:t>
      </w:r>
    </w:p>
    <w:p>
      <w:pPr>
        <w:jc w:val="center"/>
        <w:rPr>
          <w:rFonts w:asciiTheme="minorEastAsia" w:hAnsiTheme="minorEastAsia"/>
          <w:b/>
          <w:sz w:val="30"/>
          <w:szCs w:val="30"/>
        </w:rPr>
      </w:pPr>
      <w:r>
        <w:rPr>
          <w:rFonts w:hint="eastAsia" w:asciiTheme="minorEastAsia" w:hAnsiTheme="minorEastAsia"/>
          <w:b/>
          <w:sz w:val="30"/>
          <w:szCs w:val="30"/>
        </w:rPr>
        <w:t>2018年预研究项目指南</w:t>
      </w:r>
    </w:p>
    <w:p>
      <w:pPr>
        <w:ind w:firstLine="600"/>
        <w:jc w:val="left"/>
        <w:rPr>
          <w:rFonts w:asciiTheme="minorEastAsia" w:hAnsiTheme="minorEastAsia"/>
          <w:sz w:val="30"/>
          <w:szCs w:val="30"/>
        </w:rPr>
      </w:pPr>
      <w:r>
        <w:rPr>
          <w:rFonts w:asciiTheme="minorEastAsia" w:hAnsiTheme="minorEastAsia"/>
          <w:sz w:val="30"/>
          <w:szCs w:val="30"/>
        </w:rPr>
        <w:t>2018</w:t>
      </w:r>
      <w:r>
        <w:rPr>
          <w:rFonts w:hint="eastAsia" w:asciiTheme="minorEastAsia" w:hAnsiTheme="minorEastAsia"/>
          <w:sz w:val="30"/>
          <w:szCs w:val="30"/>
        </w:rPr>
        <w:t>年度预研究项目是根据高原学科——机械工程学科建设任务而设置, 主要支持学科成员结合学科重点任务，针对智能多向模锻及相关领域开展深入、系统的创新性研究工作。</w:t>
      </w:r>
      <w:r>
        <w:rPr>
          <w:rFonts w:asciiTheme="minorEastAsia" w:hAnsiTheme="minorEastAsia"/>
          <w:sz w:val="30"/>
          <w:szCs w:val="30"/>
        </w:rPr>
        <w:t xml:space="preserve"> </w:t>
      </w:r>
    </w:p>
    <w:p>
      <w:pPr>
        <w:ind w:firstLine="600"/>
        <w:jc w:val="left"/>
        <w:rPr>
          <w:rFonts w:hAnsi="Times New Roman"/>
        </w:rPr>
      </w:pPr>
    </w:p>
    <w:p>
      <w:pPr>
        <w:ind w:firstLine="600"/>
        <w:jc w:val="left"/>
        <w:rPr>
          <w:rFonts w:asciiTheme="minorEastAsia" w:hAnsiTheme="minorEastAsia"/>
          <w:sz w:val="30"/>
          <w:szCs w:val="30"/>
        </w:rPr>
      </w:pPr>
      <w:r>
        <w:rPr>
          <w:rFonts w:hint="eastAsia" w:asciiTheme="minorEastAsia" w:hAnsiTheme="minorEastAsia"/>
          <w:sz w:val="30"/>
          <w:szCs w:val="30"/>
        </w:rPr>
        <w:t>一、机械工程学科预研究项目主要围绕以下两个问题开展：</w:t>
      </w:r>
    </w:p>
    <w:p>
      <w:pPr>
        <w:ind w:firstLine="600"/>
        <w:jc w:val="left"/>
        <w:rPr>
          <w:rFonts w:asciiTheme="minorEastAsia" w:hAnsiTheme="minorEastAsia"/>
          <w:sz w:val="30"/>
          <w:szCs w:val="30"/>
        </w:rPr>
      </w:pPr>
      <w:r>
        <w:rPr>
          <w:rFonts w:hint="eastAsia" w:asciiTheme="minorEastAsia" w:hAnsiTheme="minorEastAsia"/>
          <w:sz w:val="30"/>
          <w:szCs w:val="30"/>
        </w:rPr>
        <w:t>1、大型锻件开发过程中的重大技术问题，包括工艺、性能，以解决企业实际生产过程中的技术难题；</w:t>
      </w:r>
    </w:p>
    <w:p>
      <w:pPr>
        <w:ind w:firstLine="600"/>
        <w:jc w:val="left"/>
        <w:rPr>
          <w:rFonts w:asciiTheme="minorEastAsia" w:hAnsiTheme="minorEastAsia"/>
          <w:sz w:val="30"/>
          <w:szCs w:val="30"/>
        </w:rPr>
      </w:pPr>
      <w:r>
        <w:rPr>
          <w:rFonts w:hint="eastAsia" w:asciiTheme="minorEastAsia" w:hAnsiTheme="minorEastAsia"/>
          <w:sz w:val="30"/>
          <w:szCs w:val="30"/>
        </w:rPr>
        <w:t>2、智能多向模锻的共性技术的科学问题的研究，包括机械装备、电气控制、成形过程及工艺、智能调度管理系统等研究。</w:t>
      </w:r>
    </w:p>
    <w:p>
      <w:pPr>
        <w:ind w:firstLine="600"/>
        <w:jc w:val="left"/>
        <w:rPr>
          <w:rFonts w:asciiTheme="minorEastAsia" w:hAnsiTheme="minorEastAsia"/>
          <w:sz w:val="30"/>
          <w:szCs w:val="30"/>
        </w:rPr>
      </w:pPr>
      <w:r>
        <w:rPr>
          <w:rFonts w:hint="eastAsia" w:asciiTheme="minorEastAsia" w:hAnsiTheme="minorEastAsia"/>
          <w:sz w:val="30"/>
          <w:szCs w:val="30"/>
        </w:rPr>
        <w:t>二、高原学科预研项目申请人应具备以下条件：</w:t>
      </w:r>
    </w:p>
    <w:p>
      <w:pPr>
        <w:ind w:firstLine="600"/>
        <w:jc w:val="left"/>
        <w:rPr>
          <w:rFonts w:asciiTheme="minorEastAsia" w:hAnsiTheme="minorEastAsia"/>
          <w:sz w:val="30"/>
          <w:szCs w:val="30"/>
        </w:rPr>
      </w:pPr>
      <w:r>
        <w:rPr>
          <w:rFonts w:hint="eastAsia" w:asciiTheme="minorEastAsia" w:hAnsiTheme="minorEastAsia"/>
          <w:sz w:val="30"/>
          <w:szCs w:val="30"/>
        </w:rPr>
        <w:t>1、具有中华人民共和国国籍；</w:t>
      </w:r>
    </w:p>
    <w:p>
      <w:pPr>
        <w:ind w:firstLine="600"/>
        <w:jc w:val="left"/>
        <w:rPr>
          <w:rFonts w:asciiTheme="minorEastAsia" w:hAnsiTheme="minorEastAsia"/>
          <w:sz w:val="30"/>
          <w:szCs w:val="30"/>
        </w:rPr>
      </w:pPr>
      <w:r>
        <w:rPr>
          <w:rFonts w:hint="eastAsia" w:asciiTheme="minorEastAsia" w:hAnsiTheme="minorEastAsia"/>
          <w:sz w:val="30"/>
          <w:szCs w:val="30"/>
        </w:rPr>
        <w:t>2、 学科预研究项目必须为高原学科团队成员；</w:t>
      </w:r>
    </w:p>
    <w:p>
      <w:pPr>
        <w:ind w:firstLine="600"/>
        <w:jc w:val="left"/>
        <w:rPr>
          <w:rFonts w:asciiTheme="minorEastAsia" w:hAnsiTheme="minorEastAsia"/>
          <w:sz w:val="30"/>
          <w:szCs w:val="30"/>
        </w:rPr>
      </w:pPr>
      <w:r>
        <w:rPr>
          <w:rFonts w:hint="eastAsia" w:asciiTheme="minorEastAsia" w:hAnsiTheme="minorEastAsia"/>
          <w:sz w:val="30"/>
          <w:szCs w:val="30"/>
        </w:rPr>
        <w:t>3、博士研究生学历或具有副教授职称；</w:t>
      </w:r>
    </w:p>
    <w:p>
      <w:pPr>
        <w:ind w:firstLine="600"/>
        <w:jc w:val="left"/>
        <w:rPr>
          <w:rFonts w:asciiTheme="minorEastAsia" w:hAnsiTheme="minorEastAsia"/>
          <w:sz w:val="30"/>
          <w:szCs w:val="30"/>
        </w:rPr>
      </w:pPr>
      <w:r>
        <w:rPr>
          <w:rFonts w:hint="eastAsia" w:asciiTheme="minorEastAsia" w:hAnsiTheme="minorEastAsia"/>
          <w:sz w:val="30"/>
          <w:szCs w:val="30"/>
        </w:rPr>
        <w:t>4、具备良好的科学道德；</w:t>
      </w:r>
    </w:p>
    <w:p>
      <w:pPr>
        <w:ind w:firstLine="600"/>
        <w:jc w:val="left"/>
        <w:rPr>
          <w:rFonts w:asciiTheme="minorEastAsia" w:hAnsiTheme="minorEastAsia"/>
          <w:sz w:val="30"/>
          <w:szCs w:val="30"/>
        </w:rPr>
      </w:pPr>
      <w:r>
        <w:rPr>
          <w:rFonts w:hint="eastAsia" w:asciiTheme="minorEastAsia" w:hAnsiTheme="minorEastAsia"/>
          <w:sz w:val="30"/>
          <w:szCs w:val="30"/>
        </w:rPr>
        <w:t>5、具有承担相关科研项目的基础或经历。</w:t>
      </w:r>
    </w:p>
    <w:p>
      <w:pPr>
        <w:ind w:firstLine="600"/>
        <w:jc w:val="left"/>
        <w:rPr>
          <w:rFonts w:hint="eastAsia" w:asciiTheme="minorEastAsia" w:hAnsiTheme="minorEastAsia"/>
          <w:sz w:val="30"/>
          <w:szCs w:val="30"/>
        </w:rPr>
      </w:pPr>
      <w:r>
        <w:rPr>
          <w:rFonts w:hint="eastAsia" w:asciiTheme="minorEastAsia" w:hAnsiTheme="minorEastAsia"/>
          <w:sz w:val="30"/>
          <w:szCs w:val="30"/>
        </w:rPr>
        <w:t>三、2018年预研基金项目资助6项，执行期：2018.08-2019.12，每项资助费用12万元，总计72万元，分两年投入经费。</w:t>
      </w:r>
    </w:p>
    <w:p>
      <w:pPr>
        <w:ind w:firstLine="600" w:firstLineChars="200"/>
        <w:jc w:val="left"/>
        <w:rPr>
          <w:rFonts w:asciiTheme="minorEastAsia" w:hAnsiTheme="minorEastAsia"/>
          <w:sz w:val="30"/>
          <w:szCs w:val="30"/>
        </w:rPr>
      </w:pPr>
      <w:r>
        <w:rPr>
          <w:rFonts w:hint="eastAsia" w:asciiTheme="minorEastAsia" w:hAnsiTheme="minorEastAsia"/>
          <w:sz w:val="30"/>
          <w:szCs w:val="30"/>
        </w:rPr>
        <w:t>四、电子版申报表</w:t>
      </w:r>
    </w:p>
    <w:p>
      <w:pPr>
        <w:ind w:right="600" w:firstLine="600"/>
        <w:jc w:val="center"/>
        <w:rPr>
          <w:rFonts w:asciiTheme="minorEastAsia" w:hAnsiTheme="minorEastAsia"/>
          <w:sz w:val="30"/>
          <w:szCs w:val="30"/>
        </w:rPr>
      </w:pPr>
      <w:r>
        <w:rPr>
          <w:rFonts w:hint="eastAsia" w:asciiTheme="minorEastAsia" w:hAnsiTheme="minorEastAsia"/>
          <w:sz w:val="30"/>
          <w:szCs w:val="30"/>
        </w:rPr>
        <w:t xml:space="preserve">               上海电机学院高原</w:t>
      </w:r>
      <w:r>
        <w:rPr>
          <w:rFonts w:asciiTheme="minorEastAsia" w:hAnsiTheme="minorEastAsia"/>
          <w:sz w:val="30"/>
          <w:szCs w:val="30"/>
        </w:rPr>
        <w:t>学科</w:t>
      </w:r>
      <w:r>
        <w:rPr>
          <w:rFonts w:hint="eastAsia" w:asciiTheme="minorEastAsia" w:hAnsiTheme="minorEastAsia"/>
          <w:sz w:val="30"/>
          <w:szCs w:val="30"/>
        </w:rPr>
        <w:t>办公室</w:t>
      </w:r>
      <w:bookmarkStart w:id="0" w:name="_GoBack"/>
      <w:bookmarkEnd w:id="0"/>
      <w:r>
        <w:rPr>
          <w:rFonts w:asciiTheme="minorEastAsia" w:hAnsiTheme="minorEastAsia"/>
          <w:sz w:val="30"/>
          <w:szCs w:val="30"/>
        </w:rPr>
        <w:br w:type="page"/>
      </w:r>
    </w:p>
    <w:p>
      <w:pPr>
        <w:jc w:val="left"/>
        <w:rPr>
          <w:rFonts w:asciiTheme="minorEastAsia" w:hAnsiTheme="minorEastAsia"/>
          <w:sz w:val="30"/>
          <w:szCs w:val="30"/>
        </w:rPr>
      </w:pPr>
      <w:r>
        <w:rPr>
          <w:rFonts w:hint="eastAsia" w:asciiTheme="minorEastAsia" w:hAnsiTheme="minorEastAsia"/>
          <w:sz w:val="30"/>
          <w:szCs w:val="30"/>
        </w:rPr>
        <w:t>附件：主要研究方向但不仅限于</w:t>
      </w:r>
    </w:p>
    <w:p>
      <w:pPr>
        <w:spacing w:line="400" w:lineRule="exact"/>
        <w:ind w:firstLine="482" w:firstLineChars="200"/>
        <w:rPr>
          <w:rFonts w:cs="宋体" w:asciiTheme="minorEastAsia" w:hAnsiTheme="minorEastAsia"/>
          <w:b/>
          <w:sz w:val="24"/>
          <w:szCs w:val="24"/>
        </w:rPr>
      </w:pPr>
      <w:r>
        <w:rPr>
          <w:rFonts w:hint="eastAsia" w:cs="宋体" w:asciiTheme="minorEastAsia" w:hAnsiTheme="minorEastAsia"/>
          <w:b/>
          <w:sz w:val="24"/>
          <w:szCs w:val="24"/>
        </w:rPr>
        <w:t>一、材料成形与智能控制技术方向</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多向模锻各执行缸液压、电气同步伺服控制技术研究；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智能多向模锻成形工艺中材料、锻造温度、压力和成形速度等因素对锻件力学性能的影响；</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典型复杂零件的锻造参数、成形方法研究；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优化多向模锻生产线工序节拍、设备配置和布局研究；</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 多向模锻技术标准</w:t>
      </w:r>
      <w:r>
        <w:rPr>
          <w:rFonts w:hint="eastAsia" w:asciiTheme="minorEastAsia" w:hAnsiTheme="minorEastAsia"/>
          <w:sz w:val="24"/>
          <w:szCs w:val="24"/>
        </w:rPr>
        <w:t>研究</w:t>
      </w:r>
      <w:r>
        <w:rPr>
          <w:rFonts w:hint="eastAsia" w:cs="Times New Roman" w:asciiTheme="minorEastAsia" w:hAnsiTheme="minorEastAsia"/>
          <w:sz w:val="24"/>
          <w:szCs w:val="24"/>
        </w:rPr>
        <w:t>。</w:t>
      </w:r>
    </w:p>
    <w:p>
      <w:pPr>
        <w:pStyle w:val="9"/>
        <w:widowControl/>
        <w:spacing w:line="400" w:lineRule="exact"/>
        <w:ind w:firstLineChars="0"/>
        <w:jc w:val="left"/>
        <w:rPr>
          <w:rFonts w:cs="宋体" w:asciiTheme="minorEastAsia" w:hAnsiTheme="minorEastAsia" w:eastAsiaTheme="minorEastAsia"/>
          <w:b/>
          <w:sz w:val="24"/>
          <w:szCs w:val="24"/>
        </w:rPr>
      </w:pPr>
      <w:r>
        <w:rPr>
          <w:rFonts w:hint="eastAsia" w:asciiTheme="minorEastAsia" w:hAnsiTheme="minorEastAsia" w:eastAsiaTheme="minorEastAsia"/>
          <w:b/>
          <w:sz w:val="24"/>
          <w:szCs w:val="24"/>
        </w:rPr>
        <w:t>二、数字化与智能制造技术方向</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多向模锻制造过程中的模具、工装和工艺设备开发研究；</w:t>
      </w:r>
    </w:p>
    <w:p>
      <w:pPr>
        <w:pStyle w:val="9"/>
        <w:widowControl/>
        <w:spacing w:line="400" w:lineRule="exact"/>
        <w:ind w:firstLineChars="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2. 多向模锻模具快速成形技术研究；</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 智能化多向模锻压机执行机构的液压机械多参数一体化建模与优化研究；</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 多向模锻参数专家决策系统；</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 智能化多向模锻压力机的数字化双胞胎系统；</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 多参数</w:t>
      </w:r>
      <w:r>
        <w:rPr>
          <w:rFonts w:hint="eastAsia" w:cs="Times New Roman" w:asciiTheme="minorEastAsia" w:hAnsiTheme="minorEastAsia" w:eastAsiaTheme="minorEastAsia"/>
          <w:color w:val="000000"/>
          <w:sz w:val="24"/>
          <w:szCs w:val="24"/>
        </w:rPr>
        <w:t>误差补偿技术研究；</w:t>
      </w:r>
    </w:p>
    <w:p>
      <w:pPr>
        <w:pStyle w:val="9"/>
        <w:widowControl/>
        <w:spacing w:line="400" w:lineRule="exact"/>
        <w:ind w:firstLineChars="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 多向模锻产品在线自动高速多维检测与伺服控制技术；</w:t>
      </w:r>
    </w:p>
    <w:p>
      <w:pPr>
        <w:pStyle w:val="9"/>
        <w:widowControl/>
        <w:spacing w:line="40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8. 多向模锻产品智能装配技术；</w:t>
      </w:r>
    </w:p>
    <w:p>
      <w:pPr>
        <w:pStyle w:val="9"/>
        <w:widowControl/>
        <w:spacing w:line="400" w:lineRule="exact"/>
        <w:ind w:firstLineChars="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9. 智能多向模锻</w:t>
      </w:r>
      <w:r>
        <w:rPr>
          <w:rFonts w:hint="eastAsia" w:cs="宋体" w:asciiTheme="minorEastAsia" w:hAnsiTheme="minorEastAsia" w:eastAsiaTheme="minorEastAsia"/>
          <w:color w:val="000000"/>
          <w:sz w:val="24"/>
          <w:szCs w:val="24"/>
        </w:rPr>
        <w:t>产品设计制造系统中的智能规划调度系统、生产线在线协调优化控制系统、产品质量控制系统、</w:t>
      </w:r>
      <w:r>
        <w:rPr>
          <w:rFonts w:hint="eastAsia" w:cs="宋体" w:asciiTheme="minorEastAsia" w:hAnsiTheme="minorEastAsia" w:eastAsiaTheme="minorEastAsia"/>
          <w:sz w:val="24"/>
          <w:szCs w:val="24"/>
        </w:rPr>
        <w:t>智能决策支持系统、</w:t>
      </w:r>
      <w:r>
        <w:rPr>
          <w:rFonts w:hint="eastAsia" w:cs="宋体" w:asciiTheme="minorEastAsia" w:hAnsiTheme="minorEastAsia" w:eastAsiaTheme="minorEastAsia"/>
          <w:color w:val="000000"/>
          <w:sz w:val="24"/>
          <w:szCs w:val="24"/>
        </w:rPr>
        <w:t>产品数据管理（</w:t>
      </w:r>
      <w:r>
        <w:rPr>
          <w:rFonts w:asciiTheme="minorEastAsia" w:hAnsiTheme="minorEastAsia" w:eastAsiaTheme="minorEastAsia"/>
          <w:color w:val="000000"/>
          <w:sz w:val="24"/>
          <w:szCs w:val="24"/>
        </w:rPr>
        <w:t>PDM</w:t>
      </w:r>
      <w:r>
        <w:rPr>
          <w:rFonts w:hint="eastAsia" w:cs="宋体" w:asciiTheme="minorEastAsia" w:hAnsiTheme="minorEastAsia" w:eastAsiaTheme="minorEastAsia"/>
          <w:color w:val="000000"/>
          <w:sz w:val="24"/>
          <w:szCs w:val="24"/>
        </w:rPr>
        <w:t>）及产品全生命周期（</w:t>
      </w:r>
      <w:r>
        <w:rPr>
          <w:rFonts w:asciiTheme="minorEastAsia" w:hAnsiTheme="minorEastAsia" w:eastAsiaTheme="minorEastAsia"/>
          <w:color w:val="000000"/>
          <w:sz w:val="24"/>
          <w:szCs w:val="24"/>
        </w:rPr>
        <w:t>PLM</w:t>
      </w:r>
      <w:r>
        <w:rPr>
          <w:rFonts w:hint="eastAsia" w:cs="宋体" w:asciiTheme="minorEastAsia" w:hAnsiTheme="minorEastAsia" w:eastAsiaTheme="minorEastAsia"/>
          <w:color w:val="000000"/>
          <w:sz w:val="24"/>
          <w:szCs w:val="24"/>
        </w:rPr>
        <w:t>）等研究；</w:t>
      </w:r>
    </w:p>
    <w:p>
      <w:pPr>
        <w:pStyle w:val="9"/>
        <w:widowControl/>
        <w:spacing w:line="400" w:lineRule="exact"/>
        <w:ind w:firstLineChars="0"/>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color w:val="000000"/>
          <w:sz w:val="24"/>
          <w:szCs w:val="24"/>
        </w:rPr>
        <w:t>10. 复杂多向模锻产品绿色工艺评估技术研究</w:t>
      </w:r>
      <w:r>
        <w:rPr>
          <w:rFonts w:hint="eastAsia" w:cs="宋体" w:asciiTheme="minorEastAsia" w:hAnsiTheme="minorEastAsia" w:eastAsiaTheme="minorEastAsia"/>
          <w:color w:val="000000"/>
          <w:sz w:val="24"/>
          <w:szCs w:val="24"/>
        </w:rPr>
        <w:t>。</w:t>
      </w:r>
    </w:p>
    <w:p>
      <w:pPr>
        <w:spacing w:line="400" w:lineRule="exact"/>
        <w:ind w:firstLine="482" w:firstLineChars="200"/>
        <w:rPr>
          <w:rFonts w:asciiTheme="minorEastAsia" w:hAnsiTheme="minorEastAsia"/>
          <w:sz w:val="24"/>
          <w:szCs w:val="24"/>
        </w:rPr>
      </w:pPr>
      <w:r>
        <w:rPr>
          <w:rFonts w:hint="eastAsia" w:cs="宋体" w:asciiTheme="minorEastAsia" w:hAnsiTheme="minorEastAsia"/>
          <w:b/>
          <w:bCs/>
          <w:sz w:val="24"/>
          <w:szCs w:val="24"/>
        </w:rPr>
        <w:t>三、多向模锻</w:t>
      </w:r>
      <w:r>
        <w:rPr>
          <w:rFonts w:hint="eastAsia" w:asciiTheme="minorEastAsia" w:hAnsiTheme="minorEastAsia"/>
          <w:b/>
          <w:sz w:val="24"/>
          <w:szCs w:val="24"/>
        </w:rPr>
        <w:t>专用机器人技术及应用方向</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多向模锻上下料机器人的结构设计与优化分析；</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高温重载机器人、重载小车的结构与动力学分析；</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特种机器人结构、驱动一体化设计与技术研究；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特种机器人机构构型的综合与设计；</w:t>
      </w:r>
    </w:p>
    <w:p>
      <w:pPr>
        <w:spacing w:line="400" w:lineRule="exact"/>
        <w:ind w:firstLine="480" w:firstLineChars="200"/>
        <w:rPr>
          <w:rFonts w:cs="Times New Roman" w:asciiTheme="minorEastAsia" w:hAnsiTheme="minorEastAsia"/>
          <w:sz w:val="24"/>
          <w:szCs w:val="24"/>
        </w:rPr>
      </w:pPr>
      <w:r>
        <w:rPr>
          <w:rFonts w:hint="eastAsia" w:cs="宋体" w:asciiTheme="minorEastAsia" w:hAnsiTheme="minorEastAsia"/>
          <w:sz w:val="24"/>
          <w:szCs w:val="24"/>
        </w:rPr>
        <w:t>5. 与环境交互的动力学和顺应性研究；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 机器人复杂轨迹规划及控制研究；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 智能制造产线中“机器人</w:t>
      </w:r>
      <w:r>
        <w:rPr>
          <w:rFonts w:cs="Times New Roman" w:asciiTheme="minorEastAsia" w:hAnsiTheme="minorEastAsia"/>
          <w:sz w:val="24"/>
          <w:szCs w:val="24"/>
        </w:rPr>
        <w:t>-</w:t>
      </w:r>
      <w:r>
        <w:rPr>
          <w:rFonts w:hint="eastAsia" w:cs="宋体" w:asciiTheme="minorEastAsia" w:hAnsiTheme="minorEastAsia"/>
          <w:sz w:val="24"/>
          <w:szCs w:val="24"/>
        </w:rPr>
        <w:t>工艺</w:t>
      </w:r>
      <w:r>
        <w:rPr>
          <w:rFonts w:cs="Times New Roman" w:asciiTheme="minorEastAsia" w:hAnsiTheme="minorEastAsia"/>
          <w:sz w:val="24"/>
          <w:szCs w:val="24"/>
        </w:rPr>
        <w:t>-</w:t>
      </w:r>
      <w:r>
        <w:rPr>
          <w:rFonts w:hint="eastAsia" w:cs="宋体" w:asciiTheme="minorEastAsia" w:hAnsiTheme="minorEastAsia"/>
          <w:sz w:val="24"/>
          <w:szCs w:val="24"/>
        </w:rPr>
        <w:t>人”系统闭环控制研究；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8. 基于多传感融合的机器人自主作业研究；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9. 特种机器人的光纤光栅传感器技术研究；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10.动态非结构化环境的在线测量与感知研究；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11. 机器人力反馈控制和力</w:t>
      </w:r>
      <w:r>
        <w:rPr>
          <w:rFonts w:cs="Times New Roman" w:asciiTheme="minorEastAsia" w:hAnsiTheme="minorEastAsia"/>
          <w:sz w:val="24"/>
          <w:szCs w:val="24"/>
        </w:rPr>
        <w:t>/</w:t>
      </w:r>
      <w:r>
        <w:rPr>
          <w:rFonts w:hint="eastAsia" w:cs="宋体" w:asciiTheme="minorEastAsia" w:hAnsiTheme="minorEastAsia"/>
          <w:sz w:val="24"/>
          <w:szCs w:val="24"/>
        </w:rPr>
        <w:t>位混合控制技术研究；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12. 基于人工神经网络的智能机器人协同闭环控制技术研究；</w:t>
      </w:r>
    </w:p>
    <w:p>
      <w:pPr>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13. 基于网络的机器人远程监测与遥操作、自主导航与规划技术；</w:t>
      </w:r>
    </w:p>
    <w:p>
      <w:pPr>
        <w:spacing w:line="400" w:lineRule="exact"/>
        <w:ind w:firstLine="480" w:firstLineChars="200"/>
        <w:rPr>
          <w:rFonts w:asciiTheme="minorEastAsia" w:hAnsiTheme="minorEastAsia"/>
          <w:sz w:val="24"/>
          <w:szCs w:val="24"/>
        </w:rPr>
      </w:pPr>
      <w:r>
        <w:rPr>
          <w:rFonts w:hint="eastAsia" w:cs="宋体" w:asciiTheme="minorEastAsia" w:hAnsiTheme="minorEastAsia"/>
          <w:sz w:val="24"/>
          <w:szCs w:val="24"/>
        </w:rPr>
        <w:t>14. 多机器人协调作业、精细协调机制等关键技术研究。</w:t>
      </w:r>
    </w:p>
    <w:p>
      <w:pPr>
        <w:pStyle w:val="9"/>
        <w:widowControl/>
        <w:spacing w:line="400" w:lineRule="exact"/>
        <w:ind w:firstLineChars="0"/>
        <w:jc w:val="left"/>
        <w:rPr>
          <w:rFonts w:asciiTheme="minorEastAsia" w:hAnsiTheme="minorEastAsia" w:eastAsiaTheme="minorEastAsia"/>
          <w:sz w:val="24"/>
          <w:szCs w:val="24"/>
        </w:rPr>
      </w:pPr>
    </w:p>
    <w:p>
      <w:pPr>
        <w:pStyle w:val="9"/>
        <w:widowControl/>
        <w:spacing w:line="400" w:lineRule="exact"/>
        <w:ind w:firstLineChars="0"/>
        <w:jc w:val="left"/>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11D0"/>
    <w:rsid w:val="00067CFB"/>
    <w:rsid w:val="00094624"/>
    <w:rsid w:val="000F7581"/>
    <w:rsid w:val="00100F05"/>
    <w:rsid w:val="00133C98"/>
    <w:rsid w:val="00165300"/>
    <w:rsid w:val="001C5658"/>
    <w:rsid w:val="00222CBA"/>
    <w:rsid w:val="0024616B"/>
    <w:rsid w:val="002C2A7D"/>
    <w:rsid w:val="002F0940"/>
    <w:rsid w:val="003F16DD"/>
    <w:rsid w:val="004767FD"/>
    <w:rsid w:val="004A0A45"/>
    <w:rsid w:val="004B5970"/>
    <w:rsid w:val="004C3FC0"/>
    <w:rsid w:val="00532F4F"/>
    <w:rsid w:val="006711D0"/>
    <w:rsid w:val="007057EC"/>
    <w:rsid w:val="00741242"/>
    <w:rsid w:val="00741FE7"/>
    <w:rsid w:val="007464A2"/>
    <w:rsid w:val="00765AD9"/>
    <w:rsid w:val="00781C49"/>
    <w:rsid w:val="007A376E"/>
    <w:rsid w:val="007D4D4B"/>
    <w:rsid w:val="00801BC5"/>
    <w:rsid w:val="0080623F"/>
    <w:rsid w:val="00810D7D"/>
    <w:rsid w:val="00824089"/>
    <w:rsid w:val="0087400E"/>
    <w:rsid w:val="008A3054"/>
    <w:rsid w:val="008B2211"/>
    <w:rsid w:val="00A17B50"/>
    <w:rsid w:val="00A723CC"/>
    <w:rsid w:val="00A818B9"/>
    <w:rsid w:val="00AE0804"/>
    <w:rsid w:val="00AE2962"/>
    <w:rsid w:val="00B7656D"/>
    <w:rsid w:val="00BD31CC"/>
    <w:rsid w:val="00BE2EB9"/>
    <w:rsid w:val="00CF4C50"/>
    <w:rsid w:val="00CF641B"/>
    <w:rsid w:val="00DA44E0"/>
    <w:rsid w:val="00EE552E"/>
    <w:rsid w:val="00EF75FF"/>
    <w:rsid w:val="00FD4169"/>
    <w:rsid w:val="3530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Calibri"/>
      <w:szCs w:val="21"/>
    </w:rPr>
  </w:style>
  <w:style w:type="character" w:customStyle="1" w:styleId="10">
    <w:name w:val="批注框文本 Char"/>
    <w:basedOn w:val="5"/>
    <w:link w:val="2"/>
    <w:semiHidden/>
    <w:uiPriority w:val="99"/>
    <w:rPr>
      <w:sz w:val="18"/>
      <w:szCs w:val="18"/>
    </w:rPr>
  </w:style>
  <w:style w:type="paragraph" w:customStyle="1" w:styleId="11">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196</Words>
  <Characters>1121</Characters>
  <Lines>9</Lines>
  <Paragraphs>2</Paragraphs>
  <TotalTime>8</TotalTime>
  <ScaleCrop>false</ScaleCrop>
  <LinksUpToDate>false</LinksUpToDate>
  <CharactersWithSpaces>1315</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2018-08-06T08:54:00Z</dcterms:created>
  <dc:creator>Sky123.Org</dc:creator>
  <cp:lastModifiedBy>饮水思源20140115</cp:lastModifiedBy>
  <cp:lastPrinted>2018-06-27T00:00:00Z</cp:lastPrinted>
  <dcterms:modified xsi:type="dcterms:W3CDTF">2018-08-07T12:10:55Z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